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1985"/>
        </w:tabs>
        <w:spacing w:after="120" w:before="120" w:lineRule="auto"/>
        <w:ind w:left="-142" w:firstLine="0"/>
        <w:jc w:val="left"/>
        <w:rPr>
          <w:rFonts w:ascii="Arial" w:cs="Arial" w:eastAsia="Arial" w:hAnsi="Arial"/>
          <w:color w:val="000000"/>
          <w:sz w:val="36"/>
          <w:szCs w:val="36"/>
        </w:rPr>
      </w:pPr>
      <w:r w:rsidDel="00000000" w:rsidR="00000000" w:rsidRPr="00000000">
        <w:rPr>
          <w:rFonts w:ascii="Arial" w:cs="Arial" w:eastAsia="Arial" w:hAnsi="Arial"/>
          <w:color w:val="000000"/>
          <w:sz w:val="24"/>
          <w:szCs w:val="24"/>
          <w:highlight w:val="yellow"/>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during the selection stage of the procurement]</w:t>
      </w:r>
      <w:r w:rsidDel="00000000" w:rsidR="00000000" w:rsidRPr="00000000">
        <w:rPr>
          <w:rFonts w:ascii="Arial" w:cs="Arial" w:eastAsia="Arial" w:hAnsi="Arial"/>
          <w:color w:val="000000"/>
          <w:sz w:val="36"/>
          <w:szCs w:val="36"/>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“Applicable Financial Indicators”</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ind w:left="141" w:firstLine="0"/>
              <w:jc w:val="left"/>
              <w:rPr>
                <w:rFonts w:ascii="Arial" w:cs="Arial" w:eastAsia="Arial" w:hAnsi="Arial"/>
                <w:smallCaps w:val="1"/>
                <w:color w:val="000000"/>
              </w:rPr>
            </w:pPr>
            <w:r w:rsidDel="00000000" w:rsidR="00000000" w:rsidRPr="00000000">
              <w:rPr>
                <w:rFonts w:ascii="Arial" w:cs="Arial" w:eastAsia="Arial" w:hAnsi="Arial"/>
                <w:color w:val="000000"/>
                <w:rtl w:val="0"/>
              </w:rPr>
              <w:t xml:space="preserve">means the financial indicators from Paragraph </w:t>
            </w:r>
            <w:r w:rsidDel="00000000" w:rsidR="00000000" w:rsidRPr="00000000">
              <w:rPr>
                <w:rFonts w:ascii="Arial" w:cs="Arial" w:eastAsia="Arial" w:hAnsi="Arial"/>
                <w:smallCaps w:val="1"/>
                <w:color w:val="000000"/>
                <w:rtl w:val="0"/>
              </w:rPr>
              <w:t xml:space="preserve">5.1 </w:t>
            </w:r>
            <w:r w:rsidDel="00000000" w:rsidR="00000000" w:rsidRPr="00000000">
              <w:rPr>
                <w:rFonts w:ascii="Arial" w:cs="Arial" w:eastAsia="Arial" w:hAnsi="Arial"/>
                <w:color w:val="000000"/>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“Board”</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the Supplier’s board of directors;</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“Board Confirmation”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“Bronze Contract”</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A</w:t>
            </w:r>
            <w:r w:rsidDel="00000000" w:rsidR="00000000" w:rsidRPr="00000000">
              <w:rPr>
                <w:rFonts w:ascii="Arial" w:cs="Arial" w:eastAsia="Arial" w:hAnsi="Arial"/>
                <w:rtl w:val="0"/>
              </w:rPr>
              <w:t xml:space="preserve">n Order</w:t>
            </w:r>
            <w:r w:rsidDel="00000000" w:rsidR="00000000" w:rsidRPr="00000000">
              <w:rPr>
                <w:rFonts w:ascii="Arial" w:cs="Arial" w:eastAsia="Arial" w:hAnsi="Arial"/>
                <w:color w:val="000000"/>
                <w:rtl w:val="0"/>
              </w:rPr>
              <w:t xml:space="preserve"> Contract categorised as a Bronze contract using the Cabinet Office Contract Tiering Tool;</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“Cabinet Office Markets and Suppliers Team”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“Credit Rating Threshold”</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“FDE Group”</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the </w:t>
            </w:r>
            <w:r w:rsidDel="00000000" w:rsidR="00000000" w:rsidRPr="00000000">
              <w:rPr>
                <w:rFonts w:ascii="Arial" w:cs="Arial" w:eastAsia="Arial" w:hAnsi="Arial"/>
                <w:color w:val="000000"/>
                <w:highlight w:val="yellow"/>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Distress Event”</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Distress Remediation Plan”</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bookmarkStart w:colFirst="0" w:colLast="0" w:name="_heading=h.3dy6vkm" w:id="0"/>
            <w:bookmarkEnd w:id="0"/>
            <w:r w:rsidDel="00000000" w:rsidR="00000000" w:rsidRPr="00000000">
              <w:rPr>
                <w:rFonts w:ascii="Arial" w:cs="Arial" w:eastAsia="Arial" w:hAnsi="Arial"/>
                <w:b w:val="1"/>
                <w:color w:val="000000"/>
                <w:rtl w:val="0"/>
              </w:rPr>
              <w:t xml:space="preserve">“Financial Indicators”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“Financial Target Thresholds”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“Monitored Suppliers”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“Rating Agencies”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b w:val="1"/>
                <w:color w:val="000000"/>
              </w:rPr>
            </w:pPr>
            <w:r w:rsidDel="00000000" w:rsidR="00000000" w:rsidRPr="00000000">
              <w:rPr>
                <w:rFonts w:ascii="Arial" w:cs="Arial" w:eastAsia="Arial" w:hAnsi="Arial"/>
                <w:b w:val="1"/>
                <w:color w:val="000000"/>
                <w:rtl w:val="0"/>
              </w:rPr>
              <w:t xml:space="preserve">“Strategic Supplier”</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Rule="auto"/>
              <w:ind w:left="141" w:firstLine="0"/>
              <w:jc w:val="left"/>
              <w:rPr>
                <w:rFonts w:ascii="Arial" w:cs="Arial" w:eastAsia="Arial" w:hAnsi="Arial"/>
                <w:color w:val="000000"/>
              </w:rPr>
            </w:pPr>
            <w:r w:rsidDel="00000000" w:rsidR="00000000" w:rsidRPr="00000000">
              <w:rPr>
                <w:rFonts w:ascii="Arial" w:cs="Arial" w:eastAsia="Arial" w:hAnsi="Arial"/>
                <w:color w:val="000000"/>
                <w:rtl w:val="0"/>
              </w:rPr>
              <w:t xml:space="preserve">means those suppliers to government listed at </w:t>
            </w:r>
            <w:hyperlink r:id="rId7">
              <w:r w:rsidDel="00000000" w:rsidR="00000000" w:rsidRPr="00000000">
                <w:rPr>
                  <w:rFonts w:ascii="Arial" w:cs="Arial" w:eastAsia="Arial" w:hAnsi="Arial"/>
                  <w:color w:val="000000"/>
                  <w:rtl w:val="0"/>
                </w:rPr>
                <w:t xml:space="preserve">https://www.gov.uk/government/publications/strategic-suppliers</w:t>
              </w:r>
            </w:hyperlink>
            <w:r w:rsidDel="00000000" w:rsidR="00000000" w:rsidRPr="00000000">
              <w:rPr>
                <w:rFonts w:ascii="Arial" w:cs="Arial" w:eastAsia="Arial" w:hAnsi="Arial"/>
                <w:color w:val="000000"/>
                <w:rtl w:val="0"/>
              </w:rPr>
              <w:t xml:space="preserve">.</w:t>
            </w:r>
          </w:p>
        </w:tc>
      </w:tr>
    </w:tbl>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Warranties and duty to notify</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Distress events</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3E">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3F">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40">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3">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Consequences</w:t>
      </w:r>
      <w:r w:rsidDel="00000000" w:rsidR="00000000" w:rsidRPr="00000000">
        <w:rPr>
          <w:rFonts w:ascii="Arial Bold" w:cs="Arial Bold" w:eastAsia="Arial Bold" w:hAnsi="Arial Bold"/>
          <w:color w:val="000000"/>
          <w:sz w:val="24"/>
          <w:szCs w:val="24"/>
          <w:rtl w:val="0"/>
        </w:rPr>
        <w:t xml:space="preserve"> of Financial Distress Events</w:t>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B">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C">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1">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2">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B">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Indicators</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bookmarkStart w:colFirst="0" w:colLast="0" w:name="_heading=h.1ci93xb" w:id="1"/>
            <w:bookmarkEnd w:id="1"/>
            <w:r w:rsidDel="00000000" w:rsidR="00000000" w:rsidRPr="00000000">
              <w:rPr>
                <w:rFonts w:ascii="Arial" w:cs="Arial" w:eastAsia="Arial" w:hAnsi="Arial"/>
                <w:b w:val="1"/>
                <w:color w:val="000000"/>
                <w:sz w:val="24"/>
                <w:szCs w:val="24"/>
                <w:rtl w:val="0"/>
              </w:rPr>
              <w:t xml:space="preserve">Monitoring and Reporting Frequency </w:t>
            </w:r>
            <w:r w:rsidDel="00000000" w:rsidR="00000000" w:rsidRPr="00000000">
              <w:rPr>
                <w:rFonts w:ascii="Arial" w:cs="Arial" w:eastAsia="Arial" w:hAnsi="Arial"/>
                <w:b w:val="1"/>
                <w:color w:val="000000"/>
                <w:sz w:val="24"/>
                <w:szCs w:val="24"/>
                <w:highlight w:val="yellow"/>
                <w:rtl w:val="0"/>
              </w:rPr>
              <w:t xml:space="preserve">[if different from the default position set out in Paragraph 2.3(b)]</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Turnover ratio</w:t>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Turnover Ratio = Total Income/Annual Contract Value</w:t>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x &lt; 1.5</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tl w:val="0"/>
              </w:rPr>
            </w:r>
          </w:p>
        </w:tc>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 half yearly]</w:t>
            </w:r>
            <w:r w:rsidDel="00000000" w:rsidR="00000000" w:rsidRPr="00000000">
              <w:rPr>
                <w:rFonts w:ascii="Arial" w:cs="Arial" w:eastAsia="Arial" w:hAnsi="Arial"/>
                <w:i w:val="1"/>
                <w:color w:val="000000"/>
                <w:sz w:val="24"/>
                <w:szCs w:val="24"/>
                <w:rtl w:val="0"/>
              </w:rPr>
              <w:t xml:space="preserve"> in arrears within [</w:t>
            </w:r>
            <w:r w:rsidDel="00000000" w:rsidR="00000000" w:rsidRPr="00000000">
              <w:rPr>
                <w:rFonts w:ascii="Arial" w:cs="Arial" w:eastAsia="Arial" w:hAnsi="Arial"/>
                <w:i w:val="1"/>
                <w:color w:val="000000"/>
                <w:sz w:val="24"/>
                <w:szCs w:val="24"/>
                <w:highlight w:val="yellow"/>
                <w:rtl w:val="0"/>
              </w:rPr>
              <w:t xml:space="preserve">120 / 90] days of each [accounting reference date / half year end]</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highlight w:val="yellow"/>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higher of (a) the Operating Margin for the most recent 12 month period and (b) the average Operating Margin for the last two 12 month periods]</w:t>
            </w:r>
          </w:p>
        </w:tc>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Operating Margin = Operating Profit / Revenue</w:t>
            </w:r>
          </w:p>
        </w:tc>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x &lt; 2.0%</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tl w:val="0"/>
              </w:rPr>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 half yearly]</w:t>
            </w:r>
            <w:r w:rsidDel="00000000" w:rsidR="00000000" w:rsidRPr="00000000">
              <w:rPr>
                <w:rFonts w:ascii="Arial" w:cs="Arial" w:eastAsia="Arial" w:hAnsi="Arial"/>
                <w:i w:val="1"/>
                <w:color w:val="000000"/>
                <w:sz w:val="24"/>
                <w:szCs w:val="24"/>
                <w:rtl w:val="0"/>
              </w:rPr>
              <w:t xml:space="preserve"> in arrears within </w:t>
            </w:r>
            <w:r w:rsidDel="00000000" w:rsidR="00000000" w:rsidRPr="00000000">
              <w:rPr>
                <w:rFonts w:ascii="Arial" w:cs="Arial" w:eastAsia="Arial" w:hAnsi="Arial"/>
                <w:i w:val="1"/>
                <w:color w:val="000000"/>
                <w:sz w:val="24"/>
                <w:szCs w:val="24"/>
                <w:highlight w:val="yellow"/>
                <w:rtl w:val="0"/>
              </w:rPr>
              <w:t xml:space="preserve">[120 / 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 half year end]</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highlight w:val="yellow"/>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7030a0"/>
                <w:sz w:val="24"/>
                <w:szCs w:val="24"/>
              </w:rPr>
            </w:pPr>
            <w:r w:rsidDel="00000000" w:rsidR="00000000" w:rsidRPr="00000000">
              <w:rPr>
                <w:rFonts w:ascii="Arial" w:cs="Arial" w:eastAsia="Arial" w:hAnsi="Arial"/>
                <w:b w:val="1"/>
                <w:color w:val="000000"/>
                <w:sz w:val="24"/>
                <w:szCs w:val="24"/>
                <w:rtl w:val="0"/>
              </w:rPr>
              <w:t xml:space="preserve">3</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to EBITDA ratio = Net Debt / EBITDA</w:t>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x &gt; 2</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tl w:val="0"/>
              </w:rPr>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7030a0"/>
                <w:sz w:val="24"/>
                <w:szCs w:val="24"/>
                <w:highlight w:val="yellow"/>
                <w:rtl w:val="0"/>
              </w:rPr>
              <w:t xml:space="preserve">/ half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7030a0"/>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 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Fonts w:ascii="Arial" w:cs="Arial" w:eastAsia="Arial" w:hAnsi="Arial"/>
                <w:i w:val="1"/>
                <w:color w:val="000000"/>
                <w:sz w:val="24"/>
                <w:szCs w:val="24"/>
                <w:rtl w:val="0"/>
              </w:rPr>
              <w:t xml:space="preserve"> based upon </w:t>
            </w:r>
            <w:r w:rsidDel="00000000" w:rsidR="00000000" w:rsidRPr="00000000">
              <w:rPr>
                <w:rFonts w:ascii="Arial" w:cs="Arial" w:eastAsia="Arial" w:hAnsi="Arial"/>
                <w:i w:val="1"/>
                <w:color w:val="7030a0"/>
                <w:sz w:val="24"/>
                <w:szCs w:val="24"/>
                <w:highlight w:val="yellow"/>
                <w:rtl w:val="0"/>
              </w:rPr>
              <w:t xml:space="preserve">[Free Cash Flow /</w:t>
            </w:r>
            <w:r w:rsidDel="00000000" w:rsidR="00000000" w:rsidRPr="00000000">
              <w:rPr>
                <w:rFonts w:ascii="Arial" w:cs="Arial" w:eastAsia="Arial" w:hAnsi="Arial"/>
                <w:i w:val="1"/>
                <w:color w:val="000000"/>
                <w:sz w:val="24"/>
                <w:szCs w:val="24"/>
                <w:highlight w:val="yellow"/>
                <w:rtl w:val="0"/>
              </w:rPr>
              <w:t xml:space="preserve"> EBITDA]</w:t>
            </w:r>
            <w:r w:rsidDel="00000000" w:rsidR="00000000" w:rsidRPr="00000000">
              <w:rPr>
                <w:rFonts w:ascii="Arial" w:cs="Arial" w:eastAsia="Arial" w:hAnsi="Arial"/>
                <w:i w:val="1"/>
                <w:color w:val="000000"/>
                <w:sz w:val="24"/>
                <w:szCs w:val="24"/>
                <w:rtl w:val="0"/>
              </w:rPr>
              <w:t xml:space="preserve"> for the 12 months ending on, and Net Debt at,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7030a0"/>
                <w:sz w:val="24"/>
                <w:szCs w:val="24"/>
                <w:highlight w:val="yellow"/>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 Net Pension Deficit to EBITDA Ratio = (Net Debt + Net Pension Deficit) / EBITDA</w:t>
            </w:r>
          </w:p>
        </w:tc>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x &gt; 3.5</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tl w:val="0"/>
              </w:rPr>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w:t>
            </w:r>
            <w:r w:rsidDel="00000000" w:rsidR="00000000" w:rsidRPr="00000000">
              <w:rPr>
                <w:rFonts w:ascii="Arial" w:cs="Arial" w:eastAsia="Arial" w:hAnsi="Arial"/>
                <w:i w:val="1"/>
                <w:color w:val="f79646"/>
                <w:sz w:val="24"/>
                <w:szCs w:val="24"/>
                <w:rtl w:val="0"/>
              </w:rPr>
              <w:t xml:space="preserve">90 </w:t>
            </w:r>
            <w:r w:rsidDel="00000000" w:rsidR="00000000" w:rsidRPr="00000000">
              <w:rPr>
                <w:rFonts w:ascii="Arial" w:cs="Arial" w:eastAsia="Arial" w:hAnsi="Arial"/>
                <w:i w:val="1"/>
                <w:color w:val="000000"/>
                <w:sz w:val="24"/>
                <w:szCs w:val="24"/>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x &lt; 3</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tl w:val="0"/>
              </w:rPr>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 </w:t>
            </w:r>
            <w:r w:rsidDel="00000000" w:rsidR="00000000" w:rsidRPr="00000000">
              <w:rPr>
                <w:rFonts w:ascii="Arial" w:cs="Arial" w:eastAsia="Arial" w:hAnsi="Arial"/>
                <w:i w:val="1"/>
                <w:color w:val="000000"/>
                <w:sz w:val="24"/>
                <w:szCs w:val="24"/>
                <w:highlight w:val="yellow"/>
                <w:rtl w:val="0"/>
              </w:rPr>
              <w:t xml:space="preserve">90]</w:t>
            </w:r>
            <w:r w:rsidDel="00000000" w:rsidR="00000000" w:rsidRPr="00000000">
              <w:rPr>
                <w:rFonts w:ascii="Arial" w:cs="Arial" w:eastAsia="Arial" w:hAnsi="Arial"/>
                <w:i w:val="1"/>
                <w:color w:val="000000"/>
                <w:sz w:val="24"/>
                <w:szCs w:val="24"/>
                <w:rtl w:val="0"/>
              </w:rPr>
              <w:t xml:space="preserve"> 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000000"/>
                <w:sz w:val="24"/>
                <w:szCs w:val="24"/>
                <w:rtl w:val="0"/>
              </w:rPr>
              <w:t xml:space="preserve"> based upon figures for the 12 months ending on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Acid Ratio = (Current Assets – Inventories) / Current Liabilities</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x &lt; 0.8</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tl w:val="0"/>
              </w:rPr>
            </w:r>
          </w:p>
        </w:tc>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90]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Fonts w:ascii="Arial" w:cs="Arial" w:eastAsia="Arial" w:hAnsi="Arial"/>
                <w:i w:val="1"/>
                <w:color w:val="000000"/>
                <w:sz w:val="24"/>
                <w:szCs w:val="24"/>
                <w:highlight w:val="yellow"/>
                <w:rtl w:val="0"/>
              </w:rPr>
              <w:t xml:space="preserve">[accounting reference date</w:t>
            </w:r>
            <w:r w:rsidDel="00000000" w:rsidR="00000000" w:rsidRPr="00000000">
              <w:rPr>
                <w:rFonts w:ascii="Arial" w:cs="Arial" w:eastAsia="Arial" w:hAnsi="Arial"/>
                <w:i w:val="1"/>
                <w:color w:val="8064a2"/>
                <w:sz w:val="24"/>
                <w:szCs w:val="24"/>
                <w:highlight w:val="yellow"/>
                <w:rtl w:val="0"/>
              </w:rPr>
              <w:t xml:space="preserve"> /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Asset Value = Net Assets</w:t>
            </w:r>
          </w:p>
        </w:tc>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sdt>
              <w:sdtPr>
                <w:tag w:val="goog_rdk_0"/>
              </w:sdtPr>
              <w:sdtContent>
                <w:r w:rsidDel="00000000" w:rsidR="00000000" w:rsidRPr="00000000">
                  <w:rPr>
                    <w:rFonts w:ascii="Arial Unicode MS" w:cs="Arial Unicode MS" w:eastAsia="Arial Unicode MS" w:hAnsi="Arial Unicode MS"/>
                    <w:i w:val="1"/>
                    <w:sz w:val="24"/>
                    <w:szCs w:val="24"/>
                    <w:rtl w:val="0"/>
                  </w:rPr>
                  <w:t xml:space="preserve">x ≤ 0</w:t>
                </w:r>
              </w:sdtContent>
            </w:sdt>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tl w:val="0"/>
              </w:rPr>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w:t>
            </w:r>
            <w:r w:rsidDel="00000000" w:rsidR="00000000" w:rsidRPr="00000000">
              <w:rPr>
                <w:rFonts w:ascii="Arial" w:cs="Arial" w:eastAsia="Arial" w:hAnsi="Arial"/>
                <w:i w:val="1"/>
                <w:color w:val="000000"/>
                <w:sz w:val="24"/>
                <w:szCs w:val="24"/>
                <w:highlight w:val="yellow"/>
                <w:rtl w:val="0"/>
              </w:rPr>
              <w:t xml:space="preserve">[yearly </w:t>
            </w:r>
            <w:r w:rsidDel="00000000" w:rsidR="00000000" w:rsidRPr="00000000">
              <w:rPr>
                <w:rFonts w:ascii="Arial" w:cs="Arial" w:eastAsia="Arial" w:hAnsi="Arial"/>
                <w:i w:val="1"/>
                <w:color w:val="8064a2"/>
                <w:sz w:val="24"/>
                <w:szCs w:val="24"/>
                <w:highlight w:val="yellow"/>
                <w:rtl w:val="0"/>
              </w:rPr>
              <w:t xml:space="preserve">/ half yearly</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i w:val="1"/>
                <w:color w:val="8064a2"/>
                <w:sz w:val="24"/>
                <w:szCs w:val="24"/>
                <w:highlight w:val="yellow"/>
                <w:rtl w:val="0"/>
              </w:rPr>
              <w:t xml:space="preserve">120 /</w:t>
            </w:r>
            <w:r w:rsidDel="00000000" w:rsidR="00000000" w:rsidRPr="00000000">
              <w:rPr>
                <w:rFonts w:ascii="Arial" w:cs="Arial" w:eastAsia="Arial" w:hAnsi="Arial"/>
                <w:i w:val="1"/>
                <w:color w:val="000000"/>
                <w:sz w:val="24"/>
                <w:szCs w:val="24"/>
                <w:highlight w:val="yellow"/>
                <w:rtl w:val="0"/>
              </w:rPr>
              <w:t xml:space="preserve">90] </w:t>
            </w:r>
            <w:r w:rsidDel="00000000" w:rsidR="00000000" w:rsidRPr="00000000">
              <w:rPr>
                <w:rFonts w:ascii="Arial" w:cs="Arial" w:eastAsia="Arial" w:hAnsi="Arial"/>
                <w:i w:val="1"/>
                <w:color w:val="000000"/>
                <w:sz w:val="24"/>
                <w:szCs w:val="24"/>
                <w:rtl w:val="0"/>
              </w:rPr>
              <w:t xml:space="preserve">days of each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i w:val="1"/>
                <w:color w:val="000000"/>
                <w:sz w:val="24"/>
                <w:szCs w:val="24"/>
                <w:rtl w:val="0"/>
              </w:rPr>
              <w:t xml:space="preserve">based upon figures at the relevant </w:t>
            </w:r>
            <w:r w:rsidDel="00000000" w:rsidR="00000000" w:rsidRPr="00000000">
              <w:rPr>
                <w:rFonts w:ascii="Arial" w:cs="Arial" w:eastAsia="Arial" w:hAnsi="Arial"/>
                <w:i w:val="1"/>
                <w:color w:val="000000"/>
                <w:sz w:val="24"/>
                <w:szCs w:val="24"/>
                <w:highlight w:val="yellow"/>
                <w:rtl w:val="0"/>
              </w:rPr>
              <w:t xml:space="preserve">[accounting reference date </w:t>
            </w:r>
            <w:r w:rsidDel="00000000" w:rsidR="00000000" w:rsidRPr="00000000">
              <w:rPr>
                <w:rFonts w:ascii="Arial" w:cs="Arial" w:eastAsia="Arial" w:hAnsi="Arial"/>
                <w:i w:val="1"/>
                <w:color w:val="8064a2"/>
                <w:sz w:val="24"/>
                <w:szCs w:val="24"/>
                <w:highlight w:val="yellow"/>
                <w:rtl w:val="0"/>
              </w:rPr>
              <w:t xml:space="preserve">/ half year end</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8</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Group Exposure / Gross Assets</w:t>
            </w:r>
          </w:p>
        </w:tc>
        <w:tc>
          <w:tcPr>
            <w:vAlign w:val="cente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x &gt; 50.0%</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tl w:val="0"/>
              </w:rPr>
            </w:r>
          </w:p>
        </w:tc>
        <w:tc>
          <w:tcPr>
            <w:vAlign w:val="cente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spacing w:after="200" w:before="10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1"/>
                <w:sz w:val="22"/>
                <w:szCs w:val="22"/>
                <w:highlight w:val="yellow"/>
                <w:rtl w:val="0"/>
              </w:rPr>
              <w:t xml:space="preserve">Insert additional Financial Target -  if applicable</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97">
            <w:pPr>
              <w:spacing w:after="200" w:before="100" w:lineRule="auto"/>
              <w:jc w:val="center"/>
              <w:rPr>
                <w:rFonts w:ascii="Arial" w:cs="Arial" w:eastAsia="Arial" w:hAnsi="Arial"/>
                <w:b w:val="1"/>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spacing w:after="200" w:before="10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22"/>
                <w:szCs w:val="22"/>
                <w:highlight w:val="yellow"/>
                <w:rtl w:val="0"/>
              </w:rPr>
              <w:t xml:space="preserve">insert calculation</w:t>
            </w:r>
            <w:r w:rsidDel="00000000" w:rsidR="00000000" w:rsidRPr="00000000">
              <w:rPr>
                <w:rFonts w:ascii="Arial" w:cs="Arial" w:eastAsia="Arial" w:hAnsi="Arial"/>
                <w:sz w:val="22"/>
                <w:szCs w:val="22"/>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spacing w:after="200" w:before="10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22"/>
                <w:szCs w:val="22"/>
                <w:highlight w:val="yellow"/>
                <w:rtl w:val="0"/>
              </w:rPr>
              <w:t xml:space="preserve">insert Financial Target Threshold</w:t>
            </w:r>
            <w:r w:rsidDel="00000000" w:rsidR="00000000" w:rsidRPr="00000000">
              <w:rPr>
                <w:rFonts w:ascii="Arial" w:cs="Arial" w:eastAsia="Arial" w:hAnsi="Arial"/>
                <w:sz w:val="22"/>
                <w:szCs w:val="22"/>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spacing w:after="200" w:before="10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22"/>
                <w:szCs w:val="22"/>
                <w:highlight w:val="yellow"/>
                <w:rtl w:val="0"/>
              </w:rPr>
              <w:t xml:space="preserve">insert Monitoring and Reporting Frequency</w:t>
            </w:r>
            <w:r w:rsidDel="00000000" w:rsidR="00000000" w:rsidRPr="00000000">
              <w:rPr>
                <w:rFonts w:ascii="Arial" w:cs="Arial" w:eastAsia="Arial" w:hAnsi="Arial"/>
                <w:sz w:val="22"/>
                <w:szCs w:val="22"/>
                <w:rtl w:val="0"/>
              </w:rPr>
              <w:t xml:space="preserve">]</w:t>
            </w:r>
          </w:p>
        </w:tc>
      </w:tr>
    </w:tbl>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whwml4" w:id="2"/>
            <w:bookmarkEnd w:id="2"/>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2 e.g Group Member, Sub-contractor, Relevant Parent Company etc.]</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[3][4][5][6][7][8][etc..]</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r>
    </w:tbl>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AC">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rights</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AF">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B0">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B2">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Primacy of Credit Ratings</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B6">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Board confirmation</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has been specified as a Critical Service Contract under Paragraph 1.1 of Part B of Annex 1 to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D">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Optional Clauses</w:t>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Buyer’s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Contract is a Bronze Contract, if specified in the Order Form, the terms at Annex 5 shall apply to the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Contract in place of the foregoing terms of this Joint Schedule 7. </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C0">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Dunn and Bradstreet</w:t>
      </w:r>
    </w:p>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color w:val="000000"/>
          <w:sz w:val="24"/>
          <w:szCs w:val="24"/>
        </w:rPr>
      </w:pPr>
      <w:bookmarkStart w:colFirst="0" w:colLast="0" w:name="_heading=h.2bn6wsx" w:id="3"/>
      <w:bookmarkEnd w:id="3"/>
      <w:r w:rsidDel="00000000" w:rsidR="00000000" w:rsidRPr="00000000">
        <w:rPr>
          <w:rFonts w:ascii="Arial Bold" w:cs="Arial Bold" w:eastAsia="Arial Bold" w:hAnsi="Arial Bold"/>
          <w:b w:val="1"/>
          <w:color w:val="000000"/>
          <w:sz w:val="24"/>
          <w:szCs w:val="24"/>
          <w:rtl w:val="0"/>
        </w:rPr>
        <w:t xml:space="preserve">Annex 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E">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D2">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D3">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3as4poj" w:id="4"/>
      <w:bookmarkEnd w:id="4"/>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4">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5">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 Turnover Ratio</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Revenue should be shown on the face of the Income Statement in a standard set of financial statements. It should exclude the entity’s share of the revenue of joint ventures or associates.</w:t>
            </w:r>
          </w:p>
        </w:tc>
      </w:tr>
      <w:tr>
        <w:trPr>
          <w:cantSplit w:val="0"/>
          <w:tblHeader w:val="0"/>
        </w:trPr>
        <w:tc>
          <w:tcP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heading=h.gjdgxs" w:id="5"/>
            <w:bookmarkEnd w:id="5"/>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Free Cash Flow to Net Debt Ratio</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Free Cash Flow</w:t>
            </w:r>
            <w:r w:rsidDel="00000000" w:rsidR="00000000" w:rsidRPr="00000000">
              <w:rPr>
                <w:rFonts w:ascii="Arial" w:cs="Arial" w:eastAsia="Arial" w:hAnsi="Arial"/>
                <w:i w:val="1"/>
                <w:color w:val="000000"/>
                <w:sz w:val="24"/>
                <w:szCs w:val="24"/>
                <w:rtl w:val="0"/>
              </w:rPr>
              <w:t xml:space="preserve">” = Net Cash Flow from Operating Activities – Capital Expenditure</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Capital Expenditure</w:t>
            </w:r>
            <w:r w:rsidDel="00000000" w:rsidR="00000000" w:rsidRPr="00000000">
              <w:rPr>
                <w:rFonts w:ascii="Arial" w:cs="Arial" w:eastAsia="Arial" w:hAnsi="Arial"/>
                <w:i w:val="1"/>
                <w:color w:val="000000"/>
                <w:sz w:val="24"/>
                <w:szCs w:val="24"/>
                <w:rtl w:val="0"/>
              </w:rPr>
              <w:t xml:space="preserve">” = Purchase of property, plant &amp; equipment + purchase of intangible assets</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Cash Flow from Operating Activities</w:t>
            </w:r>
            <w:r w:rsidDel="00000000" w:rsidR="00000000" w:rsidRPr="00000000">
              <w:rPr>
                <w:rFonts w:ascii="Arial" w:cs="Arial" w:eastAsia="Arial" w:hAnsi="Arial"/>
                <w:color w:val="000000"/>
                <w:sz w:val="24"/>
                <w:szCs w:val="24"/>
                <w:rtl w:val="0"/>
              </w:rPr>
              <w:t xml:space="preserve">: This should be stated after deduction of interest and tax paid.</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Capital expenditure</w:t>
            </w:r>
            <w:r w:rsidDel="00000000" w:rsidR="00000000" w:rsidRPr="00000000">
              <w:rPr>
                <w:rFonts w:ascii="Arial" w:cs="Arial" w:eastAsia="Arial" w:hAnsi="Arial"/>
                <w:color w:val="000000"/>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1pxezwc" w:id="6"/>
            <w:bookmarkEnd w:id="6"/>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49x2ik5" w:id="7"/>
            <w:bookmarkEnd w:id="7"/>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8</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u w:val="single"/>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35">
            <w:pP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1"/>
                <w:sz w:val="22"/>
                <w:szCs w:val="22"/>
                <w:highlight w:val="yellow"/>
                <w:rtl w:val="0"/>
              </w:rPr>
              <w:t xml:space="preserve">Insert additional Financial Target -  if applicable</w:t>
            </w:r>
            <w:r w:rsidDel="00000000" w:rsidR="00000000" w:rsidRPr="00000000">
              <w:rPr>
                <w:rFonts w:ascii="Arial" w:cs="Arial" w:eastAsia="Arial" w:hAnsi="Arial"/>
                <w:sz w:val="22"/>
                <w:szCs w:val="22"/>
                <w:rtl w:val="0"/>
              </w:rPr>
              <w:t xml:space="preserve">]</w:t>
            </w:r>
            <w:r w:rsidDel="00000000" w:rsidR="00000000" w:rsidRPr="00000000">
              <w:rPr>
                <w:rtl w:val="0"/>
              </w:rPr>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insert Specific Methodology if applicable</w:t>
            </w:r>
            <w:r w:rsidDel="00000000" w:rsidR="00000000" w:rsidRPr="00000000">
              <w:rPr>
                <w:rFonts w:ascii="Arial" w:cs="Arial" w:eastAsia="Arial" w:hAnsi="Arial"/>
                <w:sz w:val="24"/>
                <w:szCs w:val="24"/>
                <w:rtl w:val="0"/>
              </w:rPr>
              <w:t xml:space="preserve">]</w:t>
            </w:r>
            <w:r w:rsidDel="00000000" w:rsidR="00000000" w:rsidRPr="00000000">
              <w:rPr>
                <w:rtl w:val="0"/>
              </w:rPr>
            </w:r>
          </w:p>
        </w:tc>
      </w:tr>
    </w:tbl>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300" w:before="100" w:lineRule="auto"/>
        <w:jc w:val="left"/>
        <w:rPr>
          <w:rFonts w:ascii="Arial Bold" w:cs="Arial Bold" w:eastAsia="Arial Bold" w:hAnsi="Arial Bold"/>
          <w:b w:val="1"/>
          <w:smallCaps w:val="1"/>
          <w:color w:val="000000"/>
          <w:sz w:val="24"/>
          <w:szCs w:val="24"/>
        </w:rPr>
      </w:pPr>
      <w:bookmarkStart w:colFirst="0" w:colLast="0" w:name="_heading=h.2p2csry" w:id="8"/>
      <w:bookmarkEnd w:id="8"/>
      <w:r w:rsidDel="00000000" w:rsidR="00000000" w:rsidRPr="00000000">
        <w:rPr>
          <w:rFonts w:ascii="Arial Bold" w:cs="Arial Bold" w:eastAsia="Arial Bold" w:hAnsi="Arial Bold"/>
          <w:b w:val="1"/>
          <w:smallCaps w:val="1"/>
          <w:color w:val="000000"/>
          <w:sz w:val="24"/>
          <w:szCs w:val="24"/>
          <w:rtl w:val="0"/>
        </w:rPr>
        <w:t xml:space="preserve">Annex 4: Board Confirmation</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147n2zr" w:id="9"/>
      <w:bookmarkEnd w:id="9"/>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40">
      <w:pPr>
        <w:numPr>
          <w:ilvl w:val="3"/>
          <w:numId w:val="2"/>
        </w:numPr>
        <w:pBdr>
          <w:top w:space="0" w:sz="0" w:val="nil"/>
          <w:left w:space="0" w:sz="0" w:val="nil"/>
          <w:bottom w:space="0" w:sz="0" w:val="nil"/>
          <w:right w:space="0" w:sz="0" w:val="nil"/>
          <w:between w:space="0" w:sz="0" w:val="nil"/>
        </w:pBdr>
        <w:tabs>
          <w:tab w:val="left" w:pos="720"/>
          <w:tab w:val="left"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41">
      <w:pPr>
        <w:numPr>
          <w:ilvl w:val="3"/>
          <w:numId w:val="2"/>
        </w:numPr>
        <w:pBdr>
          <w:top w:space="0" w:sz="0" w:val="nil"/>
          <w:left w:space="0" w:sz="0" w:val="nil"/>
          <w:bottom w:space="0" w:sz="0" w:val="nil"/>
          <w:right w:space="0" w:sz="0" w:val="nil"/>
          <w:between w:space="0" w:sz="0" w:val="nil"/>
        </w:pBdr>
        <w:tabs>
          <w:tab w:val="left" w:pos="720"/>
          <w:tab w:val="left"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4D">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4E">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4F">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50">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5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5, the following words shall have the following meanings and they shall supplement Joint Schedule 1 (Definitions):</w:t>
      </w:r>
    </w:p>
    <w:tbl>
      <w:tblPr>
        <w:tblStyle w:val="Table6"/>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153">
            <w:pPr>
              <w:numPr>
                <w:ilvl w:val="0"/>
                <w:numId w:val="4"/>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155">
            <w:pPr>
              <w:numPr>
                <w:ilvl w:val="0"/>
                <w:numId w:val="4"/>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or one or more of the following events:</w:t>
            </w:r>
          </w:p>
          <w:p w:rsidR="00000000" w:rsidDel="00000000" w:rsidP="00000000" w:rsidRDefault="00000000" w:rsidRPr="00000000" w14:paraId="00000156">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p>
          <w:p w:rsidR="00000000" w:rsidDel="00000000" w:rsidP="00000000" w:rsidRDefault="00000000" w:rsidRPr="00000000" w14:paraId="00000157">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58">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59">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p>
          <w:p w:rsidR="00000000" w:rsidDel="00000000" w:rsidP="00000000" w:rsidRDefault="00000000" w:rsidRPr="00000000" w14:paraId="0000015A">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5B">
            <w:pPr>
              <w:numPr>
                <w:ilvl w:val="1"/>
                <w:numId w:val="4"/>
              </w:numPr>
              <w:pBdr>
                <w:top w:space="0" w:sz="0" w:val="nil"/>
                <w:left w:space="0" w:sz="0" w:val="nil"/>
                <w:bottom w:space="0" w:sz="0" w:val="nil"/>
                <w:right w:space="0" w:sz="0" w:val="nil"/>
                <w:between w:space="0" w:sz="0" w:val="nil"/>
              </w:pBdr>
              <w:tabs>
                <w:tab w:val="left"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15C">
            <w:pPr>
              <w:numPr>
                <w:ilvl w:val="2"/>
                <w:numId w:val="4"/>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D">
            <w:pPr>
              <w:numPr>
                <w:ilvl w:val="2"/>
                <w:numId w:val="4"/>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the Monitored Company of any financial indebtedness;</w:t>
            </w:r>
          </w:p>
          <w:p w:rsidR="00000000" w:rsidDel="00000000" w:rsidP="00000000" w:rsidRDefault="00000000" w:rsidRPr="00000000" w14:paraId="0000015E">
            <w:pPr>
              <w:numPr>
                <w:ilvl w:val="2"/>
                <w:numId w:val="4"/>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p>
          <w:p w:rsidR="00000000" w:rsidDel="00000000" w:rsidP="00000000" w:rsidRDefault="00000000" w:rsidRPr="00000000" w14:paraId="0000015F">
            <w:pPr>
              <w:numPr>
                <w:ilvl w:val="2"/>
                <w:numId w:val="4"/>
              </w:numPr>
              <w:pBdr>
                <w:top w:space="0" w:sz="0" w:val="nil"/>
                <w:left w:space="0" w:sz="0" w:val="nil"/>
                <w:bottom w:space="0" w:sz="0" w:val="nil"/>
                <w:right w:space="0" w:sz="0" w:val="nil"/>
                <w:between w:space="0" w:sz="0" w:val="nil"/>
              </w:pBdr>
              <w:tabs>
                <w:tab w:val="left"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p>
          <w:p w:rsidR="00000000" w:rsidDel="00000000" w:rsidP="00000000" w:rsidRDefault="00000000" w:rsidRPr="00000000" w14:paraId="00000160">
            <w:pPr>
              <w:numPr>
                <w:ilvl w:val="0"/>
                <w:numId w:val="4"/>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Contract;</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Service Continuity Plan"</w:t>
            </w:r>
          </w:p>
        </w:tc>
        <w:tc>
          <w:tcPr/>
          <w:p w:rsidR="00000000" w:rsidDel="00000000" w:rsidP="00000000" w:rsidRDefault="00000000" w:rsidRPr="00000000" w14:paraId="00000162">
            <w:pPr>
              <w:numPr>
                <w:ilvl w:val="0"/>
                <w:numId w:val="4"/>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[each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Contract in the event that a Financial Distress Event occurs;</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Company”</w:t>
            </w:r>
          </w:p>
        </w:tc>
        <w:tc>
          <w:tcPr/>
          <w:p w:rsidR="00000000" w:rsidDel="00000000" w:rsidP="00000000" w:rsidRDefault="00000000" w:rsidRPr="00000000" w14:paraId="00000164">
            <w:pPr>
              <w:numPr>
                <w:ilvl w:val="0"/>
                <w:numId w:val="4"/>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w:t>
            </w:r>
            <w:r w:rsidDel="00000000" w:rsidR="00000000" w:rsidRPr="00000000">
              <w:rPr>
                <w:rFonts w:ascii="Arial" w:cs="Arial" w:eastAsia="Arial" w:hAnsi="Arial"/>
                <w:color w:val="000000"/>
                <w:sz w:val="24"/>
                <w:szCs w:val="24"/>
                <w:highlight w:val="yellow"/>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166">
            <w:pPr>
              <w:numPr>
                <w:ilvl w:val="0"/>
                <w:numId w:val="4"/>
              </w:numPr>
              <w:pBdr>
                <w:top w:space="0" w:sz="0" w:val="nil"/>
                <w:left w:space="0" w:sz="0" w:val="nil"/>
                <w:bottom w:space="0" w:sz="0" w:val="nil"/>
                <w:right w:space="0" w:sz="0" w:val="nil"/>
                <w:between w:space="0" w:sz="0" w:val="nil"/>
              </w:pBdr>
              <w:tabs>
                <w:tab w:val="left"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Appendix 1.</w:t>
            </w:r>
          </w:p>
        </w:tc>
      </w:tr>
    </w:tbl>
    <w:p w:rsidR="00000000" w:rsidDel="00000000" w:rsidP="00000000" w:rsidRDefault="00000000" w:rsidRPr="00000000" w14:paraId="00000167">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bookmarkStart w:colFirst="0" w:colLast="0" w:name="_heading=h.3o7alnk" w:id="10"/>
      <w:bookmarkEnd w:id="10"/>
      <w:r w:rsidDel="00000000" w:rsidR="00000000" w:rsidRPr="00000000">
        <w:rPr>
          <w:rFonts w:ascii="Arial Bold" w:cs="Arial Bold" w:eastAsia="Arial Bold" w:hAnsi="Arial Bold"/>
          <w:b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16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6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terms of this Annex 5 shall survive: </w:t>
      </w:r>
    </w:p>
    <w:p w:rsidR="00000000" w:rsidDel="00000000" w:rsidP="00000000" w:rsidRDefault="00000000" w:rsidRPr="00000000" w14:paraId="0000016A">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w:t>
      </w:r>
      <w:r w:rsidDel="00000000" w:rsidR="00000000" w:rsidRPr="00000000">
        <w:rPr>
          <w:rFonts w:ascii="Arial" w:cs="Arial" w:eastAsia="Arial" w:hAnsi="Arial"/>
          <w:sz w:val="24"/>
          <w:szCs w:val="24"/>
          <w:rtl w:val="0"/>
        </w:rPr>
        <w:t xml:space="preserve">DPS </w:t>
      </w:r>
      <w:r w:rsidDel="00000000" w:rsidR="00000000" w:rsidRPr="00000000">
        <w:rPr>
          <w:rFonts w:ascii="Arial" w:cs="Arial" w:eastAsia="Arial" w:hAnsi="Arial"/>
          <w:color w:val="000000"/>
          <w:sz w:val="24"/>
          <w:szCs w:val="24"/>
          <w:rtl w:val="0"/>
        </w:rPr>
        <w:t xml:space="preserve">Contract until the later of (a) the termination or expiry of the </w:t>
      </w:r>
      <w:r w:rsidDel="00000000" w:rsidR="00000000" w:rsidRPr="00000000">
        <w:rPr>
          <w:rFonts w:ascii="Arial" w:cs="Arial" w:eastAsia="Arial" w:hAnsi="Arial"/>
          <w:sz w:val="24"/>
          <w:szCs w:val="24"/>
          <w:rtl w:val="0"/>
        </w:rPr>
        <w:t xml:space="preserve">DPS </w:t>
      </w:r>
      <w:r w:rsidDel="00000000" w:rsidR="00000000" w:rsidRPr="00000000">
        <w:rPr>
          <w:rFonts w:ascii="Arial" w:cs="Arial" w:eastAsia="Arial" w:hAnsi="Arial"/>
          <w:color w:val="000000"/>
          <w:sz w:val="24"/>
          <w:szCs w:val="24"/>
          <w:rtl w:val="0"/>
        </w:rPr>
        <w:t xml:space="preserve">Contract or (b) the latest date of termination or expiry of any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contract entered into under the </w:t>
      </w:r>
      <w:r w:rsidDel="00000000" w:rsidR="00000000" w:rsidRPr="00000000">
        <w:rPr>
          <w:rFonts w:ascii="Arial" w:cs="Arial" w:eastAsia="Arial" w:hAnsi="Arial"/>
          <w:sz w:val="24"/>
          <w:szCs w:val="24"/>
          <w:rtl w:val="0"/>
        </w:rPr>
        <w:t xml:space="preserve">DPS </w:t>
      </w:r>
      <w:r w:rsidDel="00000000" w:rsidR="00000000" w:rsidRPr="00000000">
        <w:rPr>
          <w:rFonts w:ascii="Arial" w:cs="Arial" w:eastAsia="Arial" w:hAnsi="Arial"/>
          <w:color w:val="000000"/>
          <w:sz w:val="24"/>
          <w:szCs w:val="24"/>
          <w:rtl w:val="0"/>
        </w:rPr>
        <w:t xml:space="preserve">Contract (which might be after the date of termination or expiry of the </w:t>
      </w:r>
      <w:r w:rsidDel="00000000" w:rsidR="00000000" w:rsidRPr="00000000">
        <w:rPr>
          <w:rFonts w:ascii="Arial" w:cs="Arial" w:eastAsia="Arial" w:hAnsi="Arial"/>
          <w:sz w:val="24"/>
          <w:szCs w:val="24"/>
          <w:rtl w:val="0"/>
        </w:rPr>
        <w:t xml:space="preserve">DPS </w:t>
      </w:r>
      <w:r w:rsidDel="00000000" w:rsidR="00000000" w:rsidRPr="00000000">
        <w:rPr>
          <w:rFonts w:ascii="Arial" w:cs="Arial" w:eastAsia="Arial" w:hAnsi="Arial"/>
          <w:color w:val="000000"/>
          <w:sz w:val="24"/>
          <w:szCs w:val="24"/>
          <w:rtl w:val="0"/>
        </w:rPr>
        <w:t xml:space="preserve">Contract); and</w:t>
      </w:r>
    </w:p>
    <w:p w:rsidR="00000000" w:rsidDel="00000000" w:rsidP="00000000" w:rsidRDefault="00000000" w:rsidRPr="00000000" w14:paraId="0000016B">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Contract until the termination or expiry of the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Contract.</w:t>
      </w:r>
    </w:p>
    <w:p w:rsidR="00000000" w:rsidDel="00000000" w:rsidP="00000000" w:rsidRDefault="00000000" w:rsidRPr="00000000" w14:paraId="0000016C">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6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23ckvvd" w:id="11"/>
      <w:bookmarkEnd w:id="11"/>
      <w:r w:rsidDel="00000000" w:rsidR="00000000" w:rsidRPr="00000000">
        <w:rPr>
          <w:rFonts w:ascii="Arial" w:cs="Arial" w:eastAsia="Arial" w:hAnsi="Arial"/>
          <w:color w:val="000000"/>
          <w:sz w:val="24"/>
          <w:szCs w:val="24"/>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6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6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ihv636" w:id="12"/>
      <w:bookmarkEnd w:id="12"/>
      <w:r w:rsidDel="00000000" w:rsidR="00000000" w:rsidRPr="00000000">
        <w:rPr>
          <w:rFonts w:ascii="Arial" w:cs="Arial" w:eastAsia="Arial" w:hAnsi="Arial"/>
          <w:color w:val="000000"/>
          <w:sz w:val="24"/>
          <w:szCs w:val="24"/>
          <w:rtl w:val="0"/>
        </w:rPr>
        <w:t xml:space="preserve">The Supplier shall: </w:t>
      </w:r>
    </w:p>
    <w:p w:rsidR="00000000" w:rsidDel="00000000" w:rsidP="00000000" w:rsidRDefault="00000000" w:rsidRPr="00000000" w14:paraId="00000170">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 </w:t>
      </w:r>
    </w:p>
    <w:p w:rsidR="00000000" w:rsidDel="00000000" w:rsidP="00000000" w:rsidRDefault="00000000" w:rsidRPr="00000000" w14:paraId="00000171">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32hioqz" w:id="13"/>
      <w:bookmarkEnd w:id="13"/>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7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73">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7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1hmsyys" w:id="14"/>
      <w:bookmarkEnd w:id="14"/>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134"/>
        </w:tabs>
        <w:spacing w:after="120" w:before="120" w:lineRule="auto"/>
        <w:ind w:left="936" w:hanging="1004"/>
        <w:jc w:val="left"/>
        <w:rPr>
          <w:rFonts w:ascii="Arial" w:cs="Arial" w:eastAsia="Arial" w:hAnsi="Arial"/>
          <w:color w:val="000000"/>
          <w:sz w:val="24"/>
          <w:szCs w:val="24"/>
        </w:rPr>
      </w:pPr>
      <w:bookmarkStart w:colFirst="0" w:colLast="0" w:name="_heading=h.41mghml" w:id="15"/>
      <w:bookmarkEnd w:id="15"/>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color w:val="000000"/>
          <w:sz w:val="24"/>
          <w:szCs w:val="24"/>
          <w:rtl w:val="0"/>
        </w:rPr>
        <w:t xml:space="preserve">: delete this clause if there are no Key Subcontractors or the Key Subcontractors are not Monitored Company]</w:t>
      </w:r>
    </w:p>
    <w:p w:rsidR="00000000" w:rsidDel="00000000" w:rsidP="00000000" w:rsidRDefault="00000000" w:rsidRPr="00000000" w14:paraId="0000017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77">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 </w:t>
      </w:r>
    </w:p>
    <w:p w:rsidR="00000000" w:rsidDel="00000000" w:rsidP="00000000" w:rsidRDefault="00000000" w:rsidRPr="00000000" w14:paraId="00000178">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179">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vx1227" w:id="16"/>
      <w:bookmarkEnd w:id="16"/>
      <w:r w:rsidDel="00000000" w:rsidR="00000000" w:rsidRPr="00000000">
        <w:rPr>
          <w:rFonts w:ascii="Arial" w:cs="Arial" w:eastAsia="Arial" w:hAnsi="Arial"/>
          <w:color w:val="000000"/>
          <w:sz w:val="24"/>
          <w:szCs w:val="24"/>
          <w:rtl w:val="0"/>
        </w:rPr>
        <w:t xml:space="preserve">The Supplier shall and shall procure that the other Monitored Companies shall:</w:t>
      </w:r>
    </w:p>
    <w:p w:rsidR="00000000" w:rsidDel="00000000" w:rsidP="00000000" w:rsidRDefault="00000000" w:rsidRPr="00000000" w14:paraId="0000017A">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3fwokq0" w:id="17"/>
      <w:bookmarkEnd w:id="17"/>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Contract; and</w:t>
      </w:r>
    </w:p>
    <w:p w:rsidR="00000000" w:rsidDel="00000000" w:rsidP="00000000" w:rsidRDefault="00000000" w:rsidRPr="00000000" w14:paraId="0000017B">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1v1yuxt" w:id="18"/>
      <w:bookmarkEnd w:id="18"/>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w:t>
      </w:r>
      <w:r w:rsidDel="00000000" w:rsidR="00000000" w:rsidRPr="00000000">
        <w:rPr>
          <w:rFonts w:ascii="Arial" w:cs="Arial" w:eastAsia="Arial" w:hAnsi="Arial"/>
          <w:sz w:val="24"/>
          <w:szCs w:val="24"/>
          <w:rtl w:val="0"/>
        </w:rPr>
        <w:t xml:space="preserve">Order </w:t>
      </w:r>
      <w:r w:rsidDel="00000000" w:rsidR="00000000" w:rsidRPr="00000000">
        <w:rPr>
          <w:rFonts w:ascii="Arial" w:cs="Arial" w:eastAsia="Arial" w:hAnsi="Arial"/>
          <w:color w:val="000000"/>
          <w:sz w:val="24"/>
          <w:szCs w:val="24"/>
          <w:rtl w:val="0"/>
        </w:rPr>
        <w:t xml:space="preserve">Contract: </w:t>
      </w:r>
    </w:p>
    <w:p w:rsidR="00000000" w:rsidDel="00000000" w:rsidP="00000000" w:rsidRDefault="00000000" w:rsidRPr="00000000" w14:paraId="0000017C">
      <w:pPr>
        <w:numPr>
          <w:ilvl w:val="3"/>
          <w:numId w:val="3"/>
        </w:numPr>
        <w:pBdr>
          <w:top w:space="0" w:sz="0" w:val="nil"/>
          <w:left w:space="0" w:sz="0" w:val="nil"/>
          <w:bottom w:space="0" w:sz="0" w:val="nil"/>
          <w:right w:space="0" w:sz="0" w:val="nil"/>
          <w:between w:space="0" w:sz="0" w:val="nil"/>
        </w:pBdr>
        <w:tabs>
          <w:tab w:val="left" w:pos="1985"/>
        </w:tabs>
        <w:spacing w:after="120" w:before="120" w:lineRule="auto"/>
        <w:ind w:left="2847"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7D">
      <w:pPr>
        <w:numPr>
          <w:ilvl w:val="3"/>
          <w:numId w:val="3"/>
        </w:numPr>
        <w:pBdr>
          <w:top w:space="0" w:sz="0" w:val="nil"/>
          <w:left w:space="0" w:sz="0" w:val="nil"/>
          <w:bottom w:space="0" w:sz="0" w:val="nil"/>
          <w:right w:space="0" w:sz="0" w:val="nil"/>
          <w:between w:space="0" w:sz="0" w:val="nil"/>
        </w:pBdr>
        <w:tabs>
          <w:tab w:val="left" w:pos="1985"/>
        </w:tabs>
        <w:spacing w:after="120" w:before="120" w:lineRule="auto"/>
        <w:ind w:left="2847" w:hanging="720"/>
        <w:jc w:val="left"/>
        <w:rPr>
          <w:rFonts w:ascii="Arial" w:cs="Arial" w:eastAsia="Arial" w:hAnsi="Arial"/>
          <w:color w:val="000000"/>
          <w:sz w:val="24"/>
          <w:szCs w:val="24"/>
        </w:rPr>
      </w:pPr>
      <w:bookmarkStart w:colFirst="0" w:colLast="0" w:name="_heading=h.4f1mdlm" w:id="19"/>
      <w:bookmarkEnd w:id="19"/>
      <w:r w:rsidDel="00000000" w:rsidR="00000000" w:rsidRPr="00000000">
        <w:rPr>
          <w:rFonts w:ascii="Arial" w:cs="Arial" w:eastAsia="Arial" w:hAnsi="Arial"/>
          <w:color w:val="000000"/>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7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2u6wntf" w:id="20"/>
      <w:bookmarkEnd w:id="20"/>
      <w:r w:rsidDel="00000000" w:rsidR="00000000" w:rsidRPr="00000000">
        <w:rPr>
          <w:rFonts w:ascii="Arial" w:cs="Arial" w:eastAsia="Arial" w:hAnsi="Arial"/>
          <w:color w:val="000000"/>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7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19c6y18" w:id="21"/>
      <w:bookmarkEnd w:id="21"/>
      <w:r w:rsidDel="00000000" w:rsidR="00000000" w:rsidRPr="00000000">
        <w:rPr>
          <w:rFonts w:ascii="Arial" w:cs="Arial" w:eastAsia="Arial" w:hAnsi="Arial"/>
          <w:color w:val="000000"/>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80">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3tbugp1" w:id="22"/>
      <w:bookmarkEnd w:id="22"/>
      <w:r w:rsidDel="00000000" w:rsidR="00000000" w:rsidRPr="00000000">
        <w:rPr>
          <w:rFonts w:ascii="Arial" w:cs="Arial" w:eastAsia="Arial" w:hAnsi="Arial"/>
          <w:color w:val="000000"/>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81">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28h4qwu" w:id="23"/>
      <w:bookmarkEnd w:id="23"/>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Contract;</w:t>
      </w:r>
    </w:p>
    <w:p w:rsidR="00000000" w:rsidDel="00000000" w:rsidP="00000000" w:rsidRDefault="00000000" w:rsidRPr="00000000" w14:paraId="00000182">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nmf14n" w:id="24"/>
      <w:bookmarkEnd w:id="24"/>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83">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bookmarkStart w:colFirst="0" w:colLast="0" w:name="_heading=h.37m2jsg" w:id="25"/>
      <w:bookmarkEnd w:id="25"/>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18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1mrcu09" w:id="26"/>
      <w:bookmarkEnd w:id="26"/>
      <w:r w:rsidDel="00000000" w:rsidR="00000000" w:rsidRPr="00000000">
        <w:rPr>
          <w:rFonts w:ascii="Arial" w:cs="Arial" w:eastAsia="Arial" w:hAnsi="Arial"/>
          <w:color w:val="000000"/>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8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be able to share any information it receives from the Buyer in accordance with this Paragraph with any Buyer who has entered into a </w:t>
      </w:r>
      <w:r w:rsidDel="00000000" w:rsidR="00000000" w:rsidRPr="00000000">
        <w:rPr>
          <w:rFonts w:ascii="Arial" w:cs="Arial" w:eastAsia="Arial" w:hAnsi="Arial"/>
          <w:sz w:val="24"/>
          <w:szCs w:val="24"/>
          <w:rtl w:val="0"/>
        </w:rPr>
        <w:t xml:space="preserve">Order </w:t>
      </w:r>
      <w:r w:rsidDel="00000000" w:rsidR="00000000" w:rsidRPr="00000000">
        <w:rPr>
          <w:rFonts w:ascii="Arial" w:cs="Arial" w:eastAsia="Arial" w:hAnsi="Arial"/>
          <w:color w:val="000000"/>
          <w:sz w:val="24"/>
          <w:szCs w:val="24"/>
          <w:rtl w:val="0"/>
        </w:rPr>
        <w:t xml:space="preserve">Contract with the Supplier.</w:t>
      </w:r>
    </w:p>
    <w:p w:rsidR="00000000" w:rsidDel="00000000" w:rsidP="00000000" w:rsidRDefault="00000000" w:rsidRPr="00000000" w14:paraId="00000186">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8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bookmarkStart w:colFirst="0" w:colLast="0" w:name="_heading=h.46r0co2" w:id="27"/>
      <w:bookmarkEnd w:id="27"/>
      <w:r w:rsidDel="00000000" w:rsidR="00000000" w:rsidRPr="00000000">
        <w:rPr>
          <w:rFonts w:ascii="Arial" w:cs="Arial" w:eastAsia="Arial" w:hAnsi="Arial"/>
          <w:color w:val="000000"/>
          <w:sz w:val="24"/>
          <w:szCs w:val="24"/>
          <w:rtl w:val="0"/>
        </w:rPr>
        <w:t xml:space="preserve">CCS shall be entitled to terminate this Contract and Buyers shall be entitled to terminate their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Contracts for material Default if: </w:t>
      </w:r>
    </w:p>
    <w:p w:rsidR="00000000" w:rsidDel="00000000" w:rsidP="00000000" w:rsidRDefault="00000000" w:rsidRPr="00000000" w14:paraId="00000188">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3.4; </w:t>
      </w:r>
    </w:p>
    <w:p w:rsidR="00000000" w:rsidDel="00000000" w:rsidP="00000000" w:rsidRDefault="00000000" w:rsidRPr="00000000" w14:paraId="00000189">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8A">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8B">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8C">
      <w:pPr>
        <w:keepNext w:val="1"/>
        <w:numPr>
          <w:ilvl w:val="0"/>
          <w:numId w:val="3"/>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bookmarkStart w:colFirst="0" w:colLast="0" w:name="_heading=h.2lwamvv" w:id="28"/>
      <w:bookmarkEnd w:id="28"/>
      <w:r w:rsidDel="00000000" w:rsidR="00000000" w:rsidRPr="00000000">
        <w:rPr>
          <w:rFonts w:ascii="Arial Bold" w:cs="Arial Bold" w:eastAsia="Arial Bold" w:hAnsi="Arial Bold"/>
          <w:b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8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8E">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18F">
      <w:pPr>
        <w:numPr>
          <w:ilvl w:val="2"/>
          <w:numId w:val="3"/>
        </w:num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0" w:lineRule="auto"/>
        <w:jc w:val="left"/>
        <w:rPr>
          <w:rFonts w:ascii="Arial" w:cs="Arial" w:eastAsia="Arial" w:hAnsi="Arial"/>
          <w:color w:val="ffffff"/>
          <w:sz w:val="24"/>
          <w:szCs w:val="24"/>
        </w:rPr>
      </w:pPr>
      <w:bookmarkStart w:colFirst="0" w:colLast="0" w:name="_heading=h.4i7ojhp" w:id="29"/>
      <w:bookmarkEnd w:id="29"/>
      <w:r w:rsidDel="00000000" w:rsidR="00000000" w:rsidRPr="00000000">
        <w:rPr>
          <w:rtl w:val="0"/>
        </w:rPr>
      </w:r>
    </w:p>
    <w:p w:rsidR="00000000" w:rsidDel="00000000" w:rsidP="00000000" w:rsidRDefault="00000000" w:rsidRPr="00000000" w14:paraId="00000192">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111kx3o" w:id="30"/>
      <w:bookmarkEnd w:id="30"/>
      <w:r w:rsidDel="00000000" w:rsidR="00000000" w:rsidRPr="00000000">
        <w:br w:type="page"/>
      </w:r>
      <w:r w:rsidDel="00000000" w:rsidR="00000000" w:rsidRPr="00000000">
        <w:rPr>
          <w:rtl w:val="0"/>
        </w:rPr>
      </w:r>
    </w:p>
    <w:p w:rsidR="00000000" w:rsidDel="00000000" w:rsidP="00000000" w:rsidRDefault="00000000" w:rsidRPr="00000000" w14:paraId="00000193">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36"/>
          <w:szCs w:val="36"/>
        </w:rPr>
      </w:pPr>
      <w:bookmarkStart w:colFirst="0" w:colLast="0" w:name="_heading=h.3l18frh" w:id="31"/>
      <w:bookmarkEnd w:id="31"/>
      <w:r w:rsidDel="00000000" w:rsidR="00000000" w:rsidRPr="00000000">
        <w:rPr>
          <w:rFonts w:ascii="Arial" w:cs="Arial" w:eastAsia="Arial" w:hAnsi="Arial"/>
          <w:b w:val="1"/>
          <w:smallCaps w:val="1"/>
          <w:color w:val="000000"/>
          <w:sz w:val="36"/>
          <w:szCs w:val="36"/>
          <w:rtl w:val="0"/>
        </w:rPr>
        <w:t xml:space="preserve">Appendix 1: RATING AGENCIES</w:t>
      </w:r>
    </w:p>
    <w:p w:rsidR="00000000" w:rsidDel="00000000" w:rsidP="00000000" w:rsidRDefault="00000000" w:rsidRPr="00000000" w14:paraId="0000019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[Dun and Bradstreet]</w:t>
      </w:r>
      <w:r w:rsidDel="00000000" w:rsidR="00000000" w:rsidRPr="00000000">
        <w:rPr>
          <w:rtl w:val="0"/>
        </w:rPr>
      </w:r>
    </w:p>
    <w:p w:rsidR="00000000" w:rsidDel="00000000" w:rsidP="00000000" w:rsidRDefault="00000000" w:rsidRPr="00000000" w14:paraId="00000195">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206ipza" w:id="32"/>
      <w:bookmarkEnd w:id="32"/>
      <w:r w:rsidDel="00000000" w:rsidR="00000000" w:rsidRPr="00000000">
        <w:br w:type="page"/>
      </w:r>
      <w:r w:rsidDel="00000000" w:rsidR="00000000" w:rsidRPr="00000000">
        <w:rPr>
          <w:rFonts w:ascii="Arial" w:cs="Arial" w:eastAsia="Arial" w:hAnsi="Arial"/>
          <w:b w:val="1"/>
          <w:smallCaps w:val="1"/>
          <w:color w:val="000000"/>
          <w:sz w:val="36"/>
          <w:szCs w:val="36"/>
          <w:rtl w:val="0"/>
        </w:rPr>
        <w:t xml:space="preserve">Appendix 2: CREDIT RATINGS &amp; CREDIT RATING THRESHOLDS</w:t>
      </w:r>
      <w:r w:rsidDel="00000000" w:rsidR="00000000" w:rsidRPr="00000000">
        <w:rPr>
          <w:rtl w:val="0"/>
        </w:rPr>
      </w:r>
    </w:p>
    <w:p w:rsidR="00000000" w:rsidDel="00000000" w:rsidP="00000000" w:rsidRDefault="00000000" w:rsidRPr="00000000" w14:paraId="00000196">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Part 1: Current Rating</w:t>
      </w:r>
      <w:r w:rsidDel="00000000" w:rsidR="00000000" w:rsidRPr="00000000">
        <w:rPr>
          <w:rtl w:val="0"/>
        </w:rPr>
      </w:r>
    </w:p>
    <w:tbl>
      <w:tblPr>
        <w:tblStyle w:val="Table7"/>
        <w:tblW w:w="6345.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75"/>
        <w:gridCol w:w="3165"/>
        <w:gridCol w:w="105"/>
        <w:tblGridChange w:id="0">
          <w:tblGrid>
            <w:gridCol w:w="3075"/>
            <w:gridCol w:w="3165"/>
            <w:gridCol w:w="105"/>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9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9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gridSpan w:val="2"/>
            <w:shd w:fill="ffffff" w:val="clear"/>
          </w:tcPr>
          <w:p w:rsidR="00000000" w:rsidDel="00000000" w:rsidP="00000000" w:rsidRDefault="00000000" w:rsidRPr="00000000" w14:paraId="0000019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[D&amp;B Threshold]</w:t>
            </w:r>
          </w:p>
        </w:tc>
      </w:tr>
      <w:tr>
        <w:trPr>
          <w:cantSplit w:val="0"/>
          <w:tblHeader w:val="0"/>
        </w:trPr>
        <w:tc>
          <w:tcPr>
            <w:shd w:fill="ffffff" w:val="clear"/>
          </w:tcPr>
          <w:p w:rsidR="00000000" w:rsidDel="00000000" w:rsidP="00000000" w:rsidRDefault="00000000" w:rsidRPr="00000000" w14:paraId="0000019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gridSpan w:val="2"/>
            <w:shd w:fill="ffffff" w:val="clear"/>
          </w:tcPr>
          <w:p w:rsidR="00000000" w:rsidDel="00000000" w:rsidP="00000000" w:rsidRDefault="00000000" w:rsidRPr="00000000" w14:paraId="0000019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9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A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A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2">
      <w:pPr>
        <w:spacing w:after="200" w:line="276" w:lineRule="auto"/>
        <w:jc w:val="left"/>
        <w:rPr>
          <w:rFonts w:ascii="Arial" w:cs="Arial" w:eastAsia="Arial" w:hAnsi="Arial"/>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Unicode MS"/>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8">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center" w:pos="4513"/>
        <w:tab w:val="right"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A">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rsid w:val="00A96D9C"/>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semiHidden w:val="1"/>
    <w:unhideWhenUsed w:val="1"/>
    <w:qFormat w:val="1"/>
    <w:rsid w:val="00A96D9C"/>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A96D9C"/>
    <w:pPr>
      <w:keepNext w:val="1"/>
      <w:keepLines w:val="1"/>
      <w:spacing w:after="80" w:before="280"/>
      <w:outlineLvl w:val="2"/>
    </w:pPr>
    <w:rPr>
      <w:b w:val="1"/>
      <w:sz w:val="28"/>
      <w:szCs w:val="28"/>
    </w:rPr>
  </w:style>
  <w:style w:type="paragraph" w:styleId="Heading4">
    <w:name w:val="heading 4"/>
    <w:basedOn w:val="Normal"/>
    <w:next w:val="Normal"/>
    <w:link w:val="Heading4Char"/>
    <w:uiPriority w:val="9"/>
    <w:semiHidden w:val="1"/>
    <w:unhideWhenUsed w:val="1"/>
    <w:qFormat w:val="1"/>
    <w:rsid w:val="00A96D9C"/>
    <w:pPr>
      <w:keepNext w:val="1"/>
      <w:keepLines w:val="1"/>
      <w:spacing w:after="40" w:before="240"/>
      <w:outlineLvl w:val="3"/>
    </w:pPr>
    <w:rPr>
      <w:b w:val="1"/>
      <w:sz w:val="24"/>
      <w:szCs w:val="24"/>
    </w:rPr>
  </w:style>
  <w:style w:type="paragraph" w:styleId="Heading5">
    <w:name w:val="heading 5"/>
    <w:basedOn w:val="Normal"/>
    <w:next w:val="Normal"/>
    <w:link w:val="Heading5Char"/>
    <w:uiPriority w:val="9"/>
    <w:semiHidden w:val="1"/>
    <w:unhideWhenUsed w:val="1"/>
    <w:qFormat w:val="1"/>
    <w:rsid w:val="00A96D9C"/>
    <w:pPr>
      <w:keepNext w:val="1"/>
      <w:keepLines w:val="1"/>
      <w:spacing w:after="40" w:before="220"/>
      <w:outlineLvl w:val="4"/>
    </w:pPr>
    <w:rPr>
      <w:b w:val="1"/>
    </w:rPr>
  </w:style>
  <w:style w:type="paragraph" w:styleId="Heading6">
    <w:name w:val="heading 6"/>
    <w:basedOn w:val="Normal"/>
    <w:next w:val="Normal"/>
    <w:link w:val="Heading6Char"/>
    <w:uiPriority w:val="9"/>
    <w:semiHidden w:val="1"/>
    <w:unhideWhenUsed w:val="1"/>
    <w:qFormat w:val="1"/>
    <w:rsid w:val="00A96D9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A96D9C"/>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abddD3JrqbugGLAk2drovXqZAw==">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2022-11-18T08:15:00Z</dcterms:created>
  <dc:creator>Peter Makin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